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bCs/>
          <w:sz w:val="32"/>
          <w:szCs w:val="32"/>
        </w:rPr>
        <w:t>（3）</w:t>
      </w:r>
    </w:p>
    <w:p>
      <w:pPr>
        <w:rPr>
          <w:rFonts w:ascii="Times New Roman" w:hAnsi="Times New Roman"/>
        </w:rPr>
      </w:pPr>
      <w:bookmarkStart w:id="0" w:name="_GoBack"/>
      <w:bookmarkEnd w:id="0"/>
    </w:p>
    <w:p>
      <w:pPr>
        <w:rPr>
          <w:rFonts w:ascii="Times New Roman" w:hAnsi="Times New Roman"/>
        </w:rPr>
      </w:pPr>
    </w:p>
    <w:p>
      <w:pPr>
        <w:rPr>
          <w:rFonts w:hint="default" w:ascii="Times New Roman" w:hAnsi="Times New Roman"/>
          <w:b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after="312" w:afterLines="10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pacing w:val="22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20"/>
          <w:sz w:val="52"/>
          <w:szCs w:val="52"/>
        </w:rPr>
        <w:t>非油气采矿权</w:t>
      </w:r>
    </w:p>
    <w:p>
      <w:pPr>
        <w:outlineLvl w:val="0"/>
        <w:rPr>
          <w:rFonts w:ascii="Times New Roman" w:hAnsi="Times New Roman"/>
          <w:szCs w:val="24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2103" w:type="dxa"/>
            <w:noWrap w:val="0"/>
            <w:vAlign w:val="center"/>
          </w:tcPr>
          <w:p>
            <w:pPr>
              <w:spacing w:line="180" w:lineRule="auto"/>
              <w:jc w:val="right"/>
              <w:outlineLvl w:val="0"/>
              <w:rPr>
                <w:rFonts w:ascii="Times New Roman" w:hAnsi="Times New Roman"/>
                <w:b/>
                <w:position w:val="-28"/>
                <w:sz w:val="36"/>
                <w:szCs w:val="24"/>
              </w:rPr>
            </w:pPr>
            <w:r>
              <w:rPr>
                <w:rFonts w:hint="default" w:ascii="Times New Roman" w:hAnsi="Times New Roman"/>
                <w:b/>
                <w:position w:val="-27"/>
                <w:sz w:val="36"/>
                <w:szCs w:val="24"/>
                <w:u w:val="single"/>
              </w:rPr>
              <w:t>变更</w:t>
            </w:r>
          </w:p>
        </w:tc>
        <w:tc>
          <w:tcPr>
            <w:tcW w:w="6425" w:type="dxa"/>
            <w:vMerge w:val="restart"/>
            <w:noWrap w:val="0"/>
            <w:vAlign w:val="center"/>
          </w:tcPr>
          <w:p>
            <w:pPr>
              <w:spacing w:line="180" w:lineRule="auto"/>
              <w:jc w:val="left"/>
              <w:outlineLvl w:val="0"/>
              <w:rPr>
                <w:rFonts w:ascii="Times New Roman" w:hAnsi="Times New Roman"/>
                <w:b/>
                <w:position w:val="-28"/>
                <w:sz w:val="8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100"/>
                <w:position w:val="-4"/>
                <w:sz w:val="84"/>
                <w:szCs w:val="24"/>
              </w:rPr>
              <w:t>申请登记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70"/>
                <w:position w:val="-4"/>
                <w:sz w:val="84"/>
                <w:szCs w:val="24"/>
              </w:rPr>
              <w:t>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2103" w:type="dxa"/>
            <w:noWrap w:val="0"/>
            <w:vAlign w:val="center"/>
          </w:tcPr>
          <w:p>
            <w:pPr>
              <w:spacing w:line="180" w:lineRule="auto"/>
              <w:jc w:val="right"/>
              <w:outlineLvl w:val="0"/>
              <w:rPr>
                <w:rFonts w:ascii="Times New Roman" w:hAnsi="Times New Roman"/>
                <w:b/>
                <w:position w:val="-28"/>
                <w:sz w:val="36"/>
                <w:szCs w:val="24"/>
                <w:u w:val="single"/>
              </w:rPr>
            </w:pPr>
            <w:r>
              <w:rPr>
                <w:rFonts w:hint="default" w:ascii="Times New Roman" w:hAnsi="Times New Roman"/>
                <w:b/>
                <w:position w:val="-28"/>
                <w:sz w:val="36"/>
                <w:szCs w:val="24"/>
              </w:rPr>
              <w:t>延续</w:t>
            </w:r>
          </w:p>
        </w:tc>
        <w:tc>
          <w:tcPr>
            <w:tcW w:w="6425" w:type="dxa"/>
            <w:vMerge w:val="continue"/>
            <w:noWrap w:val="0"/>
            <w:vAlign w:val="center"/>
          </w:tcPr>
          <w:p>
            <w:pPr>
              <w:spacing w:line="180" w:lineRule="auto"/>
              <w:jc w:val="left"/>
              <w:outlineLvl w:val="0"/>
              <w:rPr>
                <w:rFonts w:ascii="Times New Roman" w:hAnsi="Times New Roman"/>
                <w:b/>
                <w:spacing w:val="100"/>
                <w:position w:val="-4"/>
                <w:sz w:val="96"/>
                <w:szCs w:val="24"/>
              </w:rPr>
            </w:pPr>
          </w:p>
        </w:tc>
      </w:tr>
    </w:tbl>
    <w:p>
      <w:pPr>
        <w:spacing w:line="440" w:lineRule="exact"/>
        <w:jc w:val="center"/>
        <w:rPr>
          <w:rFonts w:hint="default" w:ascii="Times New Roman" w:hAnsi="Times New Roman" w:eastAsia="黑体"/>
          <w:b/>
          <w:bCs/>
          <w:sz w:val="72"/>
        </w:rPr>
      </w:pPr>
    </w:p>
    <w:p>
      <w:pPr>
        <w:rPr>
          <w:rFonts w:ascii="Times New Roman" w:hAnsi="Times New Roman" w:eastAsia="黑体"/>
          <w:sz w:val="72"/>
        </w:rPr>
      </w:pPr>
    </w:p>
    <w:p>
      <w:pPr>
        <w:rPr>
          <w:rFonts w:hint="default" w:ascii="Times New Roman" w:hAnsi="Times New Roman" w:eastAsia="黑体"/>
          <w:sz w:val="72"/>
        </w:rPr>
      </w:pPr>
    </w:p>
    <w:p>
      <w:pPr>
        <w:rPr>
          <w:rFonts w:hint="default" w:ascii="Times New Roman" w:hAnsi="Times New Roman" w:eastAsia="黑体"/>
          <w:sz w:val="72"/>
        </w:rPr>
      </w:pPr>
    </w:p>
    <w:p>
      <w:pPr>
        <w:rPr>
          <w:rFonts w:hint="default" w:ascii="Times New Roman" w:hAnsi="Times New Roman" w:eastAsia="黑体"/>
          <w:sz w:val="72"/>
        </w:rPr>
      </w:pPr>
    </w:p>
    <w:p>
      <w:pPr>
        <w:rPr>
          <w:rFonts w:ascii="Times New Roman" w:hAnsi="Times New Roman" w:eastAsia="黑体"/>
          <w:sz w:val="72"/>
        </w:rPr>
      </w:pPr>
    </w:p>
    <w:p>
      <w:pPr>
        <w:spacing w:line="360" w:lineRule="auto"/>
        <w:ind w:firstLine="397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40"/>
          <w:sz w:val="32"/>
          <w:szCs w:val="32"/>
        </w:rPr>
        <w:t>采矿权申请人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     （签章）</w:t>
      </w:r>
    </w:p>
    <w:p>
      <w:pPr>
        <w:spacing w:line="360" w:lineRule="auto"/>
        <w:ind w:firstLine="397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矿  山  名  称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             </w:t>
      </w:r>
    </w:p>
    <w:p>
      <w:pPr>
        <w:spacing w:line="360" w:lineRule="auto"/>
        <w:ind w:firstLine="397"/>
        <w:rPr>
          <w:rFonts w:hint="eastAsia" w:ascii="仿宋_GB2312" w:hAnsi="仿宋_GB2312" w:eastAsia="仿宋_GB2312" w:cs="仿宋_GB2312"/>
          <w:b/>
          <w:spacing w:val="1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pacing w:val="10"/>
          <w:sz w:val="32"/>
          <w:szCs w:val="32"/>
        </w:rPr>
        <w:t xml:space="preserve">原采矿许可证号 </w:t>
      </w:r>
      <w:r>
        <w:rPr>
          <w:rFonts w:hint="eastAsia" w:ascii="仿宋_GB2312" w:hAnsi="仿宋_GB2312" w:eastAsia="仿宋_GB2312" w:cs="仿宋_GB2312"/>
          <w:b/>
          <w:spacing w:val="10"/>
          <w:sz w:val="32"/>
          <w:szCs w:val="32"/>
          <w:u w:val="single"/>
        </w:rPr>
        <w:t xml:space="preserve">                              </w:t>
      </w:r>
    </w:p>
    <w:p>
      <w:pPr>
        <w:spacing w:line="360" w:lineRule="auto"/>
        <w:ind w:firstLine="397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填  表  时  间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             </w:t>
      </w:r>
    </w:p>
    <w:p>
      <w:pPr>
        <w:jc w:val="center"/>
        <w:rPr>
          <w:rFonts w:ascii="Times New Roman" w:hAnsi="Times New Roman"/>
          <w:b/>
          <w:bCs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/>
          <w:sz w:val="36"/>
          <w:szCs w:val="36"/>
        </w:rPr>
      </w:pPr>
      <w:r>
        <w:rPr>
          <w:rFonts w:hint="default" w:ascii="Times New Roman" w:hAnsi="Times New Roman"/>
          <w:sz w:val="36"/>
          <w:szCs w:val="36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采矿权申请人：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填写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取得采矿权的法人单位。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矿山名称：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采矿权申请人全称+所开办矿山的名称。如：淮北矿务局申请取得许疃煤矿的采矿权，矿山名称为：淮北矿务局许疃煤矿。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经济类型：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企业法人根据营业执照证载的类型填写。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地址：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采矿权申请人注册地址填写。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5.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开采主矿种：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申请开采的主矿种。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6.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共伴生矿种：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申请开采的其它矿种。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7.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生产规模：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按核定的生产能力填写。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8.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总资源量：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开采主矿种保有储量的综合评价数值。单位与该矿种设计规模的矿产单位相关</w:t>
      </w:r>
      <w:r>
        <w:rPr>
          <w:rFonts w:hint="default" w:ascii="Times New Roman" w:hAnsi="Times New Roman" w:eastAsia="仿宋_GB2312" w:cs="Times New Roman"/>
          <w:sz w:val="30"/>
          <w:szCs w:val="30"/>
          <w:lang w:val="e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如“煤”为万吨。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9.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开采方式：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地下开采或露天开采。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10.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原采矿权有效期限：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填写自×年×月×日至×年×月×日。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11.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采矿权取得方式：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填写取得采矿权的方式，分为探矿权转采矿权、协议出让、招标、拍卖、挂牌、</w:t>
      </w:r>
      <w:r>
        <w:rPr>
          <w:rFonts w:hint="default" w:ascii="Times New Roman" w:hAnsi="Times New Roman" w:eastAsia="仿宋_GB2312" w:cs="Times New Roman"/>
          <w:spacing w:val="2"/>
          <w:sz w:val="30"/>
          <w:szCs w:val="30"/>
          <w:shd w:val="clear" w:color="auto" w:fill="FFFFFF"/>
        </w:rPr>
        <w:t>转让</w:t>
      </w: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12.</w:t>
      </w:r>
      <w:r>
        <w:rPr>
          <w:rFonts w:hint="default" w:ascii="Times New Roman" w:hAnsi="Times New Roman" w:eastAsia="仿宋_GB2312" w:cs="Times New Roman"/>
          <w:b/>
          <w:sz w:val="30"/>
          <w:szCs w:val="30"/>
        </w:rPr>
        <w:t>矿业权出让收益（价款）处置方式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：自然资源主管部门批准或合同约定的处置方式，如按金额一次性缴纳、按金额分期缴纳、按出让收益率缴纳、按金额和出让收益率缴纳、转增国家资本金等。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13.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应缴纳采矿权出让收益（价款）：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按金额一次性或分期缴纳的，填写合同约定的总金额；按出让收益率或金额和出让收益率缴纳的，填写截至填表时应缴纳的总金额。涉及转增国家资本金的，需包含已完成转增的金额。涉及多次缴纳矿业权出让收益（价款）的，需包括过往应缴总金额。不填写滞纳金、资金占用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14.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变更内容及原因：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根据本企业的具体情况，具体填写申请变更的内容如扩大矿区范围、缩小矿区范围、变更开采主矿种、变更开采方式、变更采矿权人名称、采矿权转让变更等，并简要说明变更原因。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15.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保有资源储量：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填写申请变更时矿山保有的资源储量数据。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16.</w:t>
      </w:r>
      <w:r>
        <w:rPr>
          <w:rFonts w:hint="default" w:ascii="Times New Roman" w:hAnsi="Times New Roman" w:eastAsia="仿宋_GB2312" w:cs="Times New Roman"/>
          <w:b/>
          <w:sz w:val="30"/>
          <w:szCs w:val="30"/>
        </w:rPr>
        <w:t>矿山地质环境保护与土地复垦：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涉及扩大矿区范围、变更开采方式及扩大开采规模的，填写方案名称、公告部门及时间，方案服务年限，是否按照方案履行矿山地质环境保护与土地复垦义务，是否按照规定计提矿山地质环境治理恢复基金。不涉及以上三种变更情况的，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无须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填写相关内容。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17.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矿区范围图及坐标：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以国家直角坐标填写矿区范围拐点坐标。并注明（1）共有多少拐点圈定；（2）开采深度的起止标高。</w:t>
      </w:r>
    </w:p>
    <w:p>
      <w:pPr>
        <w:spacing w:line="360" w:lineRule="auto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br w:type="page"/>
      </w:r>
    </w:p>
    <w:tbl>
      <w:tblPr>
        <w:tblStyle w:val="4"/>
        <w:tblW w:w="90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336"/>
        <w:gridCol w:w="1166"/>
        <w:gridCol w:w="1295"/>
        <w:gridCol w:w="866"/>
        <w:gridCol w:w="285"/>
        <w:gridCol w:w="454"/>
        <w:gridCol w:w="1132"/>
        <w:gridCol w:w="49"/>
        <w:gridCol w:w="384"/>
        <w:gridCol w:w="25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请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人</w:t>
            </w:r>
          </w:p>
        </w:tc>
        <w:tc>
          <w:tcPr>
            <w:tcW w:w="394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统一社会信用代码</w:t>
            </w:r>
          </w:p>
        </w:tc>
        <w:tc>
          <w:tcPr>
            <w:tcW w:w="461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法定代表人</w:t>
            </w:r>
          </w:p>
        </w:tc>
        <w:tc>
          <w:tcPr>
            <w:tcW w:w="24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经济类型</w:t>
            </w:r>
          </w:p>
        </w:tc>
        <w:tc>
          <w:tcPr>
            <w:tcW w:w="30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地    址</w:t>
            </w:r>
          </w:p>
        </w:tc>
        <w:tc>
          <w:tcPr>
            <w:tcW w:w="705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24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电      话</w:t>
            </w:r>
          </w:p>
        </w:tc>
        <w:tc>
          <w:tcPr>
            <w:tcW w:w="30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开</w:t>
            </w:r>
            <w:r>
              <w:rPr>
                <w:rFonts w:hint="default" w:ascii="Times New Roman" w:hAnsi="Times New Roman" w:eastAsia="仿宋_GB2312"/>
                <w:spacing w:val="20"/>
                <w:sz w:val="24"/>
              </w:rPr>
              <w:t>采主矿</w:t>
            </w:r>
            <w:r>
              <w:rPr>
                <w:rFonts w:hint="default" w:ascii="Times New Roman" w:hAnsi="Times New Roman" w:eastAsia="仿宋_GB2312"/>
                <w:sz w:val="24"/>
              </w:rPr>
              <w:t>种</w:t>
            </w:r>
          </w:p>
        </w:tc>
        <w:tc>
          <w:tcPr>
            <w:tcW w:w="24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共伴生矿种</w:t>
            </w:r>
          </w:p>
        </w:tc>
        <w:tc>
          <w:tcPr>
            <w:tcW w:w="30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生 产 规 模</w:t>
            </w:r>
          </w:p>
        </w:tc>
        <w:tc>
          <w:tcPr>
            <w:tcW w:w="24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   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总资源量</w:t>
            </w:r>
          </w:p>
        </w:tc>
        <w:tc>
          <w:tcPr>
            <w:tcW w:w="30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开 采 方 式</w:t>
            </w:r>
          </w:p>
        </w:tc>
        <w:tc>
          <w:tcPr>
            <w:tcW w:w="24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所在行政区</w:t>
            </w:r>
          </w:p>
        </w:tc>
        <w:tc>
          <w:tcPr>
            <w:tcW w:w="30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3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原采矿权有效期限</w:t>
            </w:r>
          </w:p>
        </w:tc>
        <w:tc>
          <w:tcPr>
            <w:tcW w:w="576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采矿权取得方式</w:t>
            </w:r>
          </w:p>
        </w:tc>
        <w:tc>
          <w:tcPr>
            <w:tcW w:w="216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92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勘查许可证号</w:t>
            </w:r>
          </w:p>
        </w:tc>
        <w:tc>
          <w:tcPr>
            <w:tcW w:w="29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矿业权出让收益（价款）处置方式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230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应缴纳采矿权出让收益（价款）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0" w:hRule="atLeast"/>
          <w:jc w:val="center"/>
        </w:trPr>
        <w:tc>
          <w:tcPr>
            <w:tcW w:w="8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变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更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类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型</w:t>
            </w:r>
          </w:p>
        </w:tc>
        <w:tc>
          <w:tcPr>
            <w:tcW w:w="332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□扩大矿区范围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□缩小矿区范围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□变更开采主矿种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□变更开采方式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□变更采矿权人名称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□采矿权转让变更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□其他采矿权变更事项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变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更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内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容</w:t>
            </w:r>
          </w:p>
        </w:tc>
        <w:tc>
          <w:tcPr>
            <w:tcW w:w="415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3" w:hRule="atLeast"/>
          <w:jc w:val="center"/>
        </w:trPr>
        <w:tc>
          <w:tcPr>
            <w:tcW w:w="8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变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更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原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因</w:t>
            </w:r>
          </w:p>
        </w:tc>
        <w:tc>
          <w:tcPr>
            <w:tcW w:w="822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</w:tbl>
    <w:p>
      <w:pPr>
        <w:tabs>
          <w:tab w:val="left" w:pos="3540"/>
        </w:tabs>
        <w:spacing w:line="20" w:lineRule="exact"/>
        <w:rPr>
          <w:rFonts w:hint="default" w:ascii="Times New Roman" w:hAnsi="Times New Roman" w:eastAsia="仿宋_GB2312"/>
          <w:sz w:val="24"/>
        </w:rPr>
      </w:pPr>
      <w:r>
        <w:rPr>
          <w:rFonts w:hint="default" w:ascii="Times New Roman" w:hAnsi="Times New Roman" w:eastAsia="仿宋_GB2312"/>
          <w:sz w:val="24"/>
        </w:rPr>
        <w:br w:type="page"/>
      </w:r>
    </w:p>
    <w:tbl>
      <w:tblPr>
        <w:tblStyle w:val="4"/>
        <w:tblW w:w="90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864"/>
        <w:gridCol w:w="43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保有资源储量</w:t>
            </w:r>
          </w:p>
        </w:tc>
        <w:tc>
          <w:tcPr>
            <w:tcW w:w="820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5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矿山地质环境保护与土地复垦</w:t>
            </w:r>
          </w:p>
        </w:tc>
        <w:tc>
          <w:tcPr>
            <w:tcW w:w="820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备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注</w:t>
            </w:r>
          </w:p>
        </w:tc>
        <w:tc>
          <w:tcPr>
            <w:tcW w:w="820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4" w:hRule="atLeast"/>
          <w:jc w:val="center"/>
        </w:trPr>
        <w:tc>
          <w:tcPr>
            <w:tcW w:w="86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矿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区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范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围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图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坐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标</w:t>
            </w:r>
          </w:p>
        </w:tc>
        <w:tc>
          <w:tcPr>
            <w:tcW w:w="82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82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开采深度：         米  至          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38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矿区面积：         平方公里</w:t>
            </w:r>
          </w:p>
        </w:tc>
        <w:tc>
          <w:tcPr>
            <w:tcW w:w="43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采矿权使用费：      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82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损毁土地面积：         平方公里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82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复垦土地面积：         平方公里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MzEzZWY3OTY1NWRlOGU5NmIxYTg0NWM5NWIwZGEifQ=="/>
  </w:docVars>
  <w:rsids>
    <w:rsidRoot w:val="00000000"/>
    <w:rsid w:val="2CA7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Cambria"/>
      <w:b/>
      <w:sz w:val="32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缩进1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务实</cp:lastModifiedBy>
  <dcterms:modified xsi:type="dcterms:W3CDTF">2023-05-23T07:44:32Z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AD06A69A4F0C4A539CBD9F8305E743BA_12</vt:lpwstr>
  </property>
</Properties>
</file>